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A2030"/>
          <w:sz w:val="48"/>
        </w:rPr>
        <w:t>AI Use Policy Template for Small Businesses</w:t>
      </w:r>
    </w:p>
    <w:p>
      <w:r>
        <w:rPr>
          <w:color w:val="5FA6D0"/>
          <w:sz w:val="18"/>
        </w:rPr>
        <w:t>Free, editable template from WorkflowLoom  ·  Version 1.0, October 2026  ·  workflowloom.com</w:t>
      </w:r>
    </w:p>
    <w:p>
      <w:pPr>
        <w:pStyle w:val="Heading2"/>
      </w:pPr>
      <w:r>
        <w:t>How to use this template</w:t>
      </w:r>
    </w:p>
    <w:p>
      <w:pPr>
        <w:ind w:left="504" w:hanging="360"/>
      </w:pPr>
      <w:r>
        <w:rPr>
          <w:b/>
          <w:color w:val="5FA6D0"/>
        </w:rPr>
        <w:t xml:space="preserve">1.  </w:t>
      </w:r>
      <w:r>
        <w:rPr>
          <w:b/>
        </w:rPr>
        <w:t>Replace every item in [brackets]</w:t>
      </w:r>
      <w:r>
        <w:t xml:space="preserve"> with your company's details. Search the document for "[" before you adopt it, and resolve every one.</w:t>
      </w:r>
    </w:p>
    <w:p>
      <w:pPr>
        <w:ind w:left="504" w:hanging="360"/>
      </w:pPr>
      <w:r>
        <w:rPr>
          <w:b/>
          <w:color w:val="5FA6D0"/>
        </w:rPr>
        <w:t xml:space="preserve">2.  </w:t>
      </w:r>
      <w:r>
        <w:rPr>
          <w:b/>
        </w:rPr>
        <w:t>Pick one approved AI tool</w:t>
      </w:r>
      <w:r>
        <w:t xml:space="preserve"> and fill it in wherever you see [APPROVED AI TOOL]. The policy works with any business-grade AI tool that gives you company-owned accounts and admin controls. The point is one governed tool, not which brand.</w:t>
      </w:r>
    </w:p>
    <w:p>
      <w:pPr>
        <w:ind w:left="504" w:hanging="360"/>
      </w:pPr>
      <w:r>
        <w:rPr>
          <w:b/>
          <w:color w:val="5FA6D0"/>
        </w:rPr>
        <w:t xml:space="preserve">3.  </w:t>
      </w:r>
      <w:r>
        <w:rPr>
          <w:b/>
        </w:rPr>
        <w:t>Swap the examples for your own.</w:t>
      </w:r>
      <w:r>
        <w:t xml:space="preserve"> The examples in Section 5 are deliberately general. Replace them with the documents your people actually handle: bids, patient intake forms, case files, shop drawings, whatever your business runs on.</w:t>
      </w:r>
    </w:p>
    <w:p>
      <w:pPr>
        <w:ind w:left="504" w:hanging="360"/>
      </w:pPr>
      <w:r>
        <w:rPr>
          <w:b/>
          <w:color w:val="5FA6D0"/>
        </w:rPr>
        <w:t xml:space="preserve">4.  </w:t>
      </w:r>
      <w:r>
        <w:rPr>
          <w:b/>
        </w:rPr>
        <w:t>Add to the "Always a person" list in Section 9, never subtract.</w:t>
      </w:r>
      <w:r>
        <w:t xml:space="preserve"> If your business has other actions that move money or grant access (releasing orders, issuing credits, changing pricing in your systems), put them on it.</w:t>
      </w:r>
    </w:p>
    <w:p>
      <w:pPr>
        <w:ind w:left="504" w:hanging="360"/>
      </w:pPr>
      <w:r>
        <w:rPr>
          <w:b/>
          <w:color w:val="5FA6D0"/>
        </w:rPr>
        <w:t xml:space="preserve">5.  </w:t>
      </w:r>
      <w:r>
        <w:rPr>
          <w:b/>
        </w:rPr>
        <w:t>Have your attorney review it before you adopt it.</w:t>
      </w:r>
      <w:r>
        <w:t xml:space="preserve"> This template is a practical starting point, not legal advice. Employment law, privacy rules and your client contracts vary.</w:t>
      </w:r>
    </w:p>
    <w:p>
      <w:pPr>
        <w:ind w:left="504" w:hanging="360"/>
      </w:pPr>
      <w:r>
        <w:rPr>
          <w:b/>
          <w:color w:val="5FA6D0"/>
        </w:rPr>
        <w:t xml:space="preserve">6.  </w:t>
      </w:r>
      <w:r>
        <w:rPr>
          <w:b/>
        </w:rPr>
        <w:t>Train before you hand out access.</w:t>
      </w:r>
      <w:r>
        <w:t xml:space="preserve"> A policy nobody has been walked through is shelfware. Training without a policy is how company information leaks. You need both.</w:t>
      </w:r>
    </w:p>
    <w:p>
      <w:r>
        <w:rPr>
          <w:b/>
        </w:rPr>
        <w:t>Make it yours: logo and colors.</w:t>
      </w:r>
      <w:r>
        <w:t xml:space="preserve"> Replace the logo: double-click the header at the top of any page, right-click the placeholder logo, choose Change Picture, and select your file. Change the colors: on the Home tab, right-click the Heading 1 or Heading 2 style, choose Modify, and pick your brand color; to recolor table headers, click in a table, open Table Design, and change the Shading.</w:t>
      </w:r>
    </w:p>
    <w:p>
      <w:r>
        <w:t>Delete this section before you adopt the policy.</w:t>
      </w:r>
    </w:p>
    <w:p>
      <w:r>
        <w:br w:type="page"/>
      </w:r>
    </w:p>
    <w:p>
      <w:pPr>
        <w:pStyle w:val="Heading1"/>
      </w:pPr>
      <w:r>
        <w:t>[COMPANY NAME]: Artificial Intelligence (AI) Use Policy</w:t>
      </w:r>
    </w:p>
    <w:p>
      <w:r>
        <w:rPr>
          <w:b/>
        </w:rPr>
        <w:t>Version [X.X] · Effective [DATE] · Policy owner: [NAME, ROLE]</w:t>
      </w:r>
    </w:p>
    <w:p>
      <w:pPr>
        <w:pStyle w:val="Heading2"/>
      </w:pPr>
      <w:r>
        <w:t>1. Why this policy exists</w:t>
      </w:r>
    </w:p>
    <w:p>
      <w:r>
        <w:t>AI tools can save real time on email, reports, proposals, research and everyday paperwork. They also make it easy to send company information to outside companies without meaning to. Once information goes into an outside AI service, [COMPANY] loses control of it: who sees it, how long it is kept, and whether it is used to train someone else's product.</w:t>
      </w:r>
    </w:p>
    <w:p>
      <w:r>
        <w:t>[COMPANY]'s information, and the know-how behind how we work, belongs to [COMPANY]. This policy keeps it that way while giving our people good AI tools to do their jobs.</w:t>
      </w:r>
    </w:p>
    <w:p>
      <w:pPr>
        <w:pStyle w:val="Heading2"/>
      </w:pPr>
      <w:r>
        <w:t>2. Who this policy covers</w:t>
      </w:r>
    </w:p>
    <w:p>
      <w:pPr>
        <w:pStyle w:val="ListBullet"/>
      </w:pPr>
      <w:r>
        <w:t>Every [COMPANY] employee: full-time, part-time and seasonal, in the office or in the field.</w:t>
      </w:r>
    </w:p>
    <w:p>
      <w:pPr>
        <w:pStyle w:val="ListBullet"/>
      </w:pPr>
      <w:r>
        <w:t>Owners, officers and managers.</w:t>
      </w:r>
    </w:p>
    <w:p>
      <w:pPr>
        <w:pStyle w:val="ListBullet"/>
      </w:pPr>
      <w:r>
        <w:t>Contractors, consultants and temporary staff who handle [COMPANY] information.</w:t>
      </w:r>
    </w:p>
    <w:p>
      <w:pPr>
        <w:pStyle w:val="ListBullet"/>
      </w:pPr>
      <w:r>
        <w:t>Any device: company computer, personal computer, phone or tablet. If it involves [COMPANY] work or [COMPANY] information, this policy applies, on or off the clock.</w:t>
      </w:r>
    </w:p>
    <w:p>
      <w:r>
        <w:t>"AI tools" means chat assistants, AI search, AI features inside other apps and websites, browser extensions, meeting recorders, and automations or agents that use AI.</w:t>
      </w:r>
    </w:p>
    <w:p>
      <w:pPr>
        <w:pStyle w:val="Heading2"/>
      </w:pPr>
      <w:r>
        <w:t>3. The core rule</w:t>
      </w:r>
    </w:p>
    <w:tbl>
      <w:tblPr>
        <w:tblStyle w:val="TableGrid"/>
        <w:tblW w:type="auto" w:w="0"/>
        <w:tblLook w:firstColumn="1" w:firstRow="1" w:lastColumn="0" w:lastRow="0" w:noHBand="0" w:noVBand="1" w:val="04A0"/>
      </w:tblPr>
      <w:tblGrid>
        <w:gridCol w:w="9504"/>
      </w:tblGrid>
      <w:tr>
        <w:tc>
          <w:tcPr>
            <w:tcW w:type="dxa" w:w="9504"/>
            <w:shd w:val="clear" w:color="auto" w:fill="EAF4FB"/>
          </w:tcPr>
          <w:p>
            <w:r/>
            <w:r>
              <w:rPr>
                <w:b/>
              </w:rPr>
              <w:t>Company AI only.</w:t>
            </w:r>
            <w:r>
              <w:t xml:space="preserve"> The only AI tool approved for [COMPANY] work is </w:t>
            </w:r>
            <w:r>
              <w:rPr>
                <w:b/>
              </w:rPr>
              <w:t>[APPROVED AI TOOL], through an account assigned by [COMPANY] and signed in with your @[COMPANY DOMAIN] email.</w:t>
            </w:r>
            <w:r>
              <w:t xml:space="preserve"> Every other AI tool, app, account or feature is off-limits for [COMPANY] work unless an AI Administrator has approved it in writing.</w:t>
            </w:r>
          </w:p>
        </w:tc>
      </w:tr>
    </w:tbl>
    <w:p/>
    <w:p>
      <w:r>
        <w:t>This includes free tools, trial accounts, and accounts signed up with a personal email. A personal account of any kind, including a personal account on the same AI service the company uses, is not a [COMPANY] account.</w:t>
      </w:r>
    </w:p>
    <w:p>
      <w:pPr>
        <w:pStyle w:val="Heading2"/>
      </w:pPr>
      <w:r>
        <w:t>4. Not allowed for [COMPANY] work</w:t>
      </w:r>
    </w:p>
    <w:p>
      <w:r>
        <w:t xml:space="preserve">The following may </w:t>
      </w:r>
      <w:r>
        <w:rPr>
          <w:b/>
        </w:rPr>
        <w:t>not</w:t>
      </w:r>
      <w:r>
        <w:t xml:space="preserve"> be used for anything related to [COMPANY] work or [COMPANY] information unless an AI Administrator approves it in writing. This list is examples, not a complete list. If a tool uses AI and [COMPANY] did not assign it to you, it is not allowed. </w:t>
      </w:r>
      <w:r>
        <w:rPr>
          <w:i/>
        </w:rPr>
        <w:t>(Remove your approved tool from this table.)</w:t>
      </w:r>
    </w:p>
    <w:tbl>
      <w:tblPr>
        <w:tblStyle w:val="TableGrid"/>
        <w:tblW w:type="auto" w:w="0"/>
        <w:tblLook w:firstColumn="1" w:firstRow="1" w:lastColumn="0" w:lastRow="0" w:noHBand="0" w:noVBand="1" w:val="04A0"/>
      </w:tblPr>
      <w:tblGrid>
        <w:gridCol w:w="4752"/>
        <w:gridCol w:w="4752"/>
      </w:tblGrid>
      <w:tr>
        <w:tc>
          <w:tcPr>
            <w:tcW w:type="dxa" w:w="4752"/>
            <w:shd w:val="clear" w:color="auto" w:fill="EAF4FB"/>
          </w:tcPr>
          <w:p>
            <w:r>
              <w:rPr>
                <w:b/>
                <w:sz w:val="19"/>
              </w:rPr>
            </w:r>
            <w:r>
              <w:rPr>
                <w:b/>
                <w:sz w:val="19"/>
              </w:rPr>
              <w:t>Type</w:t>
            </w:r>
          </w:p>
        </w:tc>
        <w:tc>
          <w:tcPr>
            <w:tcW w:type="dxa" w:w="4752"/>
            <w:shd w:val="clear" w:color="auto" w:fill="EAF4FB"/>
          </w:tcPr>
          <w:p>
            <w:r>
              <w:rPr>
                <w:b/>
                <w:sz w:val="19"/>
              </w:rPr>
            </w:r>
            <w:r>
              <w:rPr>
                <w:b/>
                <w:sz w:val="19"/>
              </w:rPr>
              <w:t>Examples (not a complete list, as of October 2026)</w:t>
            </w:r>
          </w:p>
        </w:tc>
      </w:tr>
      <w:tr>
        <w:tc>
          <w:tcPr>
            <w:tcW w:type="dxa" w:w="4752"/>
          </w:tcPr>
          <w:p>
            <w:r>
              <w:rPr>
                <w:sz w:val="19"/>
              </w:rPr>
            </w:r>
            <w:r>
              <w:rPr>
                <w:sz w:val="19"/>
              </w:rPr>
              <w:t>AI chat assistants</w:t>
            </w:r>
          </w:p>
        </w:tc>
        <w:tc>
          <w:tcPr>
            <w:tcW w:type="dxa" w:w="4752"/>
          </w:tcPr>
          <w:p>
            <w:r>
              <w:rPr>
                <w:sz w:val="19"/>
              </w:rPr>
            </w:r>
            <w:r>
              <w:rPr>
                <w:sz w:val="19"/>
              </w:rPr>
              <w:t>ChatGPT, Claude, Google Gemini, Microsoft Copilot, Perplexity, Meta AI, Grok, DeepSeek, Mistral Le Chat, Poe, and any personal account on any of them</w:t>
            </w:r>
          </w:p>
        </w:tc>
      </w:tr>
      <w:tr>
        <w:tc>
          <w:tcPr>
            <w:tcW w:type="dxa" w:w="4752"/>
          </w:tcPr>
          <w:p>
            <w:r>
              <w:rPr>
                <w:sz w:val="19"/>
              </w:rPr>
            </w:r>
            <w:r>
              <w:rPr>
                <w:sz w:val="19"/>
              </w:rPr>
              <w:t>AI search and browsers</w:t>
            </w:r>
          </w:p>
        </w:tc>
        <w:tc>
          <w:tcPr>
            <w:tcW w:type="dxa" w:w="4752"/>
          </w:tcPr>
          <w:p>
            <w:r>
              <w:rPr>
                <w:sz w:val="19"/>
              </w:rPr>
            </w:r>
            <w:r>
              <w:rPr>
                <w:sz w:val="19"/>
              </w:rPr>
              <w:t>Perplexity, Google AI Mode, ChatGPT search, AI browsers, "summarize this page" browser features</w:t>
            </w:r>
          </w:p>
        </w:tc>
      </w:tr>
      <w:tr>
        <w:tc>
          <w:tcPr>
            <w:tcW w:type="dxa" w:w="4752"/>
          </w:tcPr>
          <w:p>
            <w:r>
              <w:rPr>
                <w:sz w:val="19"/>
              </w:rPr>
            </w:r>
            <w:r>
              <w:rPr>
                <w:sz w:val="19"/>
              </w:rPr>
              <w:t>AI inside other apps and social media</w:t>
            </w:r>
          </w:p>
        </w:tc>
        <w:tc>
          <w:tcPr>
            <w:tcW w:type="dxa" w:w="4752"/>
          </w:tcPr>
          <w:p>
            <w:r>
              <w:rPr>
                <w:sz w:val="19"/>
              </w:rPr>
            </w:r>
            <w:r>
              <w:rPr>
                <w:sz w:val="19"/>
              </w:rPr>
              <w:t>Meta AI in Facebook, Instagram, WhatsApp and Messenger; Snapchat My AI; AI features in Notion, Canva, Grammarly, Adobe Acrobat, Zoom, Google Docs and Gmail</w:t>
            </w:r>
          </w:p>
        </w:tc>
      </w:tr>
      <w:tr>
        <w:tc>
          <w:tcPr>
            <w:tcW w:type="dxa" w:w="4752"/>
          </w:tcPr>
          <w:p>
            <w:r>
              <w:rPr>
                <w:sz w:val="19"/>
              </w:rPr>
            </w:r>
            <w:r>
              <w:rPr>
                <w:sz w:val="19"/>
              </w:rPr>
              <w:t>Meeting recorders and notetakers</w:t>
            </w:r>
          </w:p>
        </w:tc>
        <w:tc>
          <w:tcPr>
            <w:tcW w:type="dxa" w:w="4752"/>
          </w:tcPr>
          <w:p>
            <w:r>
              <w:rPr>
                <w:sz w:val="19"/>
              </w:rPr>
            </w:r>
            <w:r>
              <w:rPr>
                <w:sz w:val="19"/>
              </w:rPr>
              <w:t>Otter.ai, Fireflies, Read.ai, Fathom, tl;dv, Zoom AI Companion, Teams or Google Meet AI notes</w:t>
            </w:r>
          </w:p>
        </w:tc>
      </w:tr>
      <w:tr>
        <w:tc>
          <w:tcPr>
            <w:tcW w:type="dxa" w:w="4752"/>
          </w:tcPr>
          <w:p>
            <w:r>
              <w:rPr>
                <w:sz w:val="19"/>
              </w:rPr>
            </w:r>
            <w:r>
              <w:rPr>
                <w:sz w:val="19"/>
              </w:rPr>
              <w:t>Writing, image, voice and video tools</w:t>
            </w:r>
          </w:p>
        </w:tc>
        <w:tc>
          <w:tcPr>
            <w:tcW w:type="dxa" w:w="4752"/>
          </w:tcPr>
          <w:p>
            <w:r>
              <w:rPr>
                <w:sz w:val="19"/>
              </w:rPr>
            </w:r>
            <w:r>
              <w:rPr>
                <w:sz w:val="19"/>
              </w:rPr>
              <w:t>Jasper, Copy.ai, QuillBot, Midjourney, DALL-E, Sora, ElevenLabs, HeyGen</w:t>
            </w:r>
          </w:p>
        </w:tc>
      </w:tr>
      <w:tr>
        <w:tc>
          <w:tcPr>
            <w:tcW w:type="dxa" w:w="4752"/>
          </w:tcPr>
          <w:p>
            <w:r>
              <w:rPr>
                <w:sz w:val="19"/>
              </w:rPr>
            </w:r>
            <w:r>
              <w:rPr>
                <w:sz w:val="19"/>
              </w:rPr>
              <w:t>Coding tools</w:t>
            </w:r>
          </w:p>
        </w:tc>
        <w:tc>
          <w:tcPr>
            <w:tcW w:type="dxa" w:w="4752"/>
          </w:tcPr>
          <w:p>
            <w:r>
              <w:rPr>
                <w:sz w:val="19"/>
              </w:rPr>
            </w:r>
            <w:r>
              <w:rPr>
                <w:sz w:val="19"/>
              </w:rPr>
              <w:t>GitHub Copilot, Cursor, Windsurf, Replit, Lovable, Bolt</w:t>
            </w:r>
          </w:p>
        </w:tc>
      </w:tr>
      <w:tr>
        <w:tc>
          <w:tcPr>
            <w:tcW w:type="dxa" w:w="4752"/>
          </w:tcPr>
          <w:p>
            <w:r>
              <w:rPr>
                <w:sz w:val="19"/>
              </w:rPr>
            </w:r>
            <w:r>
              <w:rPr>
                <w:sz w:val="19"/>
              </w:rPr>
              <w:t>Phone apps and extensions</w:t>
            </w:r>
          </w:p>
        </w:tc>
        <w:tc>
          <w:tcPr>
            <w:tcW w:type="dxa" w:w="4752"/>
          </w:tcPr>
          <w:p>
            <w:r>
              <w:rPr>
                <w:sz w:val="19"/>
              </w:rPr>
            </w:r>
            <w:r>
              <w:rPr>
                <w:sz w:val="19"/>
              </w:rPr>
              <w:t>AI apps on personal phones, AI keyboards, AI browser extensions</w:t>
            </w:r>
          </w:p>
        </w:tc>
      </w:tr>
    </w:tbl>
    <w:p/>
    <w:p>
      <w:r>
        <w:rPr>
          <w:b/>
        </w:rPr>
        <w:t>The same rule applies to AI features inside software [COMPANY] already uses</w:t>
      </w:r>
      <w:r>
        <w:t xml:space="preserve"> (accounting, CRM, project management, scheduling, PDF and document software). Leave those features off until an AI Administrator approves them.</w:t>
      </w:r>
    </w:p>
    <w:p>
      <w:pPr>
        <w:pStyle w:val="Heading2"/>
      </w:pPr>
      <w:r>
        <w:t>5. What information can go in</w:t>
      </w:r>
    </w:p>
    <w:p>
      <w:r>
        <w:t xml:space="preserve">Before you paste or upload anything, ask one question: </w:t>
      </w:r>
      <w:r>
        <w:rPr>
          <w:i/>
        </w:rPr>
        <w:t>what is this, and which account am I in?</w:t>
      </w:r>
    </w:p>
    <w:tbl>
      <w:tblPr>
        <w:tblStyle w:val="TableGrid"/>
        <w:tblW w:type="auto" w:w="0"/>
        <w:tblLook w:firstColumn="1" w:firstRow="1" w:lastColumn="0" w:lastRow="0" w:noHBand="0" w:noVBand="1" w:val="04A0"/>
      </w:tblPr>
      <w:tblGrid>
        <w:gridCol w:w="2376"/>
        <w:gridCol w:w="2376"/>
        <w:gridCol w:w="2376"/>
        <w:gridCol w:w="2376"/>
      </w:tblGrid>
      <w:tr>
        <w:tc>
          <w:tcPr>
            <w:tcW w:type="dxa" w:w="2376"/>
            <w:shd w:val="clear" w:color="auto" w:fill="EAF4FB"/>
          </w:tcPr>
          <w:p>
            <w:r>
              <w:rPr>
                <w:b/>
                <w:sz w:val="19"/>
              </w:rPr>
            </w:r>
            <w:r>
              <w:rPr>
                <w:b/>
                <w:sz w:val="19"/>
              </w:rPr>
              <w:t>Level</w:t>
            </w:r>
          </w:p>
        </w:tc>
        <w:tc>
          <w:tcPr>
            <w:tcW w:type="dxa" w:w="2376"/>
            <w:shd w:val="clear" w:color="auto" w:fill="EAF4FB"/>
          </w:tcPr>
          <w:p>
            <w:r>
              <w:rPr>
                <w:b/>
                <w:sz w:val="19"/>
              </w:rPr>
            </w:r>
            <w:r>
              <w:rPr>
                <w:b/>
                <w:sz w:val="19"/>
              </w:rPr>
              <w:t>What it means</w:t>
            </w:r>
          </w:p>
        </w:tc>
        <w:tc>
          <w:tcPr>
            <w:tcW w:type="dxa" w:w="2376"/>
            <w:shd w:val="clear" w:color="auto" w:fill="EAF4FB"/>
          </w:tcPr>
          <w:p>
            <w:r>
              <w:rPr>
                <w:b/>
                <w:sz w:val="19"/>
              </w:rPr>
            </w:r>
            <w:r>
              <w:rPr>
                <w:b/>
                <w:sz w:val="19"/>
              </w:rPr>
              <w:t>Examples</w:t>
            </w:r>
          </w:p>
        </w:tc>
        <w:tc>
          <w:tcPr>
            <w:tcW w:type="dxa" w:w="2376"/>
            <w:shd w:val="clear" w:color="auto" w:fill="EAF4FB"/>
          </w:tcPr>
          <w:p>
            <w:r>
              <w:rPr>
                <w:b/>
                <w:sz w:val="19"/>
              </w:rPr>
            </w:r>
            <w:r>
              <w:rPr>
                <w:b/>
                <w:sz w:val="19"/>
              </w:rPr>
              <w:t>Rule</w:t>
            </w:r>
          </w:p>
        </w:tc>
      </w:tr>
      <w:tr>
        <w:tc>
          <w:tcPr>
            <w:tcW w:type="dxa" w:w="2376"/>
            <w:shd w:val="clear" w:color="auto" w:fill="E4F4E8"/>
          </w:tcPr>
          <w:p>
            <w:r>
              <w:rPr>
                <w:sz w:val="19"/>
              </w:rPr>
            </w:r>
            <w:r>
              <w:rPr>
                <w:b/>
                <w:sz w:val="19"/>
              </w:rPr>
              <w:t>GREEN</w:t>
            </w:r>
          </w:p>
        </w:tc>
        <w:tc>
          <w:tcPr>
            <w:tcW w:type="dxa" w:w="2376"/>
          </w:tcPr>
          <w:p>
            <w:r>
              <w:rPr>
                <w:sz w:val="19"/>
              </w:rPr>
            </w:r>
            <w:r>
              <w:rPr>
                <w:sz w:val="19"/>
              </w:rPr>
              <w:t>Public or general information</w:t>
            </w:r>
          </w:p>
        </w:tc>
        <w:tc>
          <w:tcPr>
            <w:tcW w:type="dxa" w:w="2376"/>
          </w:tcPr>
          <w:p>
            <w:r>
              <w:rPr>
                <w:sz w:val="19"/>
              </w:rPr>
            </w:r>
            <w:r>
              <w:rPr>
                <w:sz w:val="19"/>
              </w:rPr>
              <w:t>Published standards and regulations, manufacturer and product information, public web content about [COMPANY], general how-to questions</w:t>
            </w:r>
          </w:p>
        </w:tc>
        <w:tc>
          <w:tcPr>
            <w:tcW w:type="dxa" w:w="2376"/>
          </w:tcPr>
          <w:p>
            <w:r>
              <w:rPr>
                <w:sz w:val="19"/>
              </w:rPr>
            </w:r>
            <w:r>
              <w:rPr>
                <w:sz w:val="19"/>
              </w:rPr>
              <w:t>OK in the company account.</w:t>
            </w:r>
          </w:p>
        </w:tc>
      </w:tr>
      <w:tr>
        <w:tc>
          <w:tcPr>
            <w:tcW w:type="dxa" w:w="2376"/>
            <w:shd w:val="clear" w:color="auto" w:fill="FFF4D1"/>
          </w:tcPr>
          <w:p>
            <w:r>
              <w:rPr>
                <w:sz w:val="19"/>
              </w:rPr>
            </w:r>
            <w:r>
              <w:rPr>
                <w:b/>
                <w:sz w:val="19"/>
              </w:rPr>
              <w:t>YELLOW</w:t>
            </w:r>
          </w:p>
        </w:tc>
        <w:tc>
          <w:tcPr>
            <w:tcW w:type="dxa" w:w="2376"/>
          </w:tcPr>
          <w:p>
            <w:r>
              <w:rPr>
                <w:sz w:val="19"/>
              </w:rPr>
            </w:r>
            <w:r>
              <w:rPr>
                <w:sz w:val="19"/>
              </w:rPr>
              <w:t>Internal company information</w:t>
            </w:r>
          </w:p>
        </w:tc>
        <w:tc>
          <w:tcPr>
            <w:tcW w:type="dxa" w:w="2376"/>
          </w:tcPr>
          <w:p>
            <w:r>
              <w:rPr>
                <w:sz w:val="19"/>
              </w:rPr>
            </w:r>
            <w:r>
              <w:rPr>
                <w:sz w:val="19"/>
              </w:rPr>
              <w:t>Internal emails, meeting notes, schedules, draft proposals and letters, reports, procedures, project and job files</w:t>
            </w:r>
          </w:p>
        </w:tc>
        <w:tc>
          <w:tcPr>
            <w:tcW w:type="dxa" w:w="2376"/>
          </w:tcPr>
          <w:p>
            <w:r>
              <w:rPr>
                <w:sz w:val="19"/>
              </w:rPr>
            </w:r>
            <w:r>
              <w:rPr>
                <w:b/>
                <w:sz w:val="19"/>
              </w:rPr>
              <w:t>Company account only.</w:t>
            </w:r>
            <w:r>
              <w:rPr>
                <w:sz w:val="19"/>
              </w:rPr>
              <w:t xml:space="preserve"> Never in a personal or unapproved tool.</w:t>
            </w:r>
          </w:p>
        </w:tc>
      </w:tr>
      <w:tr>
        <w:tc>
          <w:tcPr>
            <w:tcW w:type="dxa" w:w="2376"/>
            <w:shd w:val="clear" w:color="auto" w:fill="FCE3E3"/>
          </w:tcPr>
          <w:p>
            <w:r>
              <w:rPr>
                <w:sz w:val="19"/>
              </w:rPr>
            </w:r>
            <w:r>
              <w:rPr>
                <w:b/>
                <w:sz w:val="19"/>
              </w:rPr>
              <w:t>RED</w:t>
            </w:r>
          </w:p>
        </w:tc>
        <w:tc>
          <w:tcPr>
            <w:tcW w:type="dxa" w:w="2376"/>
          </w:tcPr>
          <w:p>
            <w:r>
              <w:rPr>
                <w:sz w:val="19"/>
              </w:rPr>
            </w:r>
            <w:r>
              <w:rPr>
                <w:sz w:val="19"/>
              </w:rPr>
              <w:t>Highly sensitive</w:t>
            </w:r>
          </w:p>
        </w:tc>
        <w:tc>
          <w:tcPr>
            <w:tcW w:type="dxa" w:w="2376"/>
          </w:tcPr>
          <w:p>
            <w:r>
              <w:rPr>
                <w:sz w:val="19"/>
              </w:rPr>
            </w:r>
            <w:r>
              <w:rPr>
                <w:sz w:val="19"/>
              </w:rPr>
              <w:t>Social Security numbers, medical information, pay and personnel records, bank and card numbers, passwords and access codes, anything a client contract says cannot be shared</w:t>
            </w:r>
          </w:p>
        </w:tc>
        <w:tc>
          <w:tcPr>
            <w:tcW w:type="dxa" w:w="2376"/>
          </w:tcPr>
          <w:p>
            <w:r>
              <w:rPr>
                <w:sz w:val="19"/>
              </w:rPr>
            </w:r>
            <w:r>
              <w:rPr>
                <w:b/>
                <w:sz w:val="19"/>
              </w:rPr>
              <w:t>Never</w:t>
            </w:r>
            <w:r>
              <w:rPr>
                <w:sz w:val="19"/>
              </w:rPr>
              <w:t>, even in the company account, without written approval from an AI Administrator.</w:t>
            </w:r>
          </w:p>
        </w:tc>
      </w:tr>
    </w:tbl>
    <w:p/>
    <w:p>
      <w:r>
        <w:t>When in doubt, treat information as one level higher, or ask.</w:t>
      </w:r>
    </w:p>
    <w:p>
      <w:r>
        <w:rPr>
          <w:b/>
        </w:rPr>
        <w:t>Company know-how is company information.</w:t>
      </w:r>
      <w:r>
        <w:t xml:space="preserve"> The processes, procedures, checklists, pricing methods, templates and systems [COMPANY] has developed are company intellectual property, just as much as financial or personal data. Treat them as YELLOW at minimum. [DECIDE: is pricing for live bids or quotes YELLOW or RED?]</w:t>
      </w:r>
    </w:p>
    <w:p>
      <w:pPr>
        <w:pStyle w:val="Heading2"/>
      </w:pPr>
      <w:r>
        <w:t>6. Client and third-party documents</w:t>
      </w:r>
    </w:p>
    <w:p>
      <w:r>
        <w:t>Documents from clients, partners and vendors may be covered by confidentiality terms or copyright.</w:t>
      </w:r>
    </w:p>
    <w:p>
      <w:pPr>
        <w:ind w:left="504" w:hanging="360"/>
      </w:pPr>
      <w:r>
        <w:rPr>
          <w:b/>
          <w:color w:val="5FA6D0"/>
        </w:rPr>
        <w:t xml:space="preserve">1.  </w:t>
      </w:r>
      <w:r>
        <w:rPr>
          <w:b/>
        </w:rPr>
        <w:t>Check the contract before you upload.</w:t>
      </w:r>
      <w:r>
        <w:t xml:space="preserve"> Look for confidentiality, non-disclosure or data-handling language.</w:t>
      </w:r>
    </w:p>
    <w:p>
      <w:pPr>
        <w:ind w:left="504" w:hanging="360"/>
      </w:pPr>
      <w:r>
        <w:rPr>
          <w:b/>
          <w:color w:val="5FA6D0"/>
        </w:rPr>
        <w:t xml:space="preserve">2.  </w:t>
      </w:r>
      <w:r>
        <w:rPr>
          <w:b/>
        </w:rPr>
        <w:t>Upload only what you need.</w:t>
      </w:r>
      <w:r>
        <w:t xml:space="preserve"> One section is better than the whole document.</w:t>
      </w:r>
    </w:p>
    <w:p>
      <w:pPr>
        <w:ind w:left="504" w:hanging="360"/>
      </w:pPr>
      <w:r>
        <w:rPr>
          <w:b/>
          <w:color w:val="5FA6D0"/>
        </w:rPr>
        <w:t xml:space="preserve">3.  </w:t>
      </w:r>
      <w:r>
        <w:rPr>
          <w:b/>
        </w:rPr>
        <w:t>Do not upload a document if the terms say not to.</w:t>
      </w:r>
    </w:p>
    <w:p>
      <w:pPr>
        <w:ind w:left="504" w:hanging="360"/>
      </w:pPr>
      <w:r>
        <w:rPr>
          <w:b/>
          <w:color w:val="5FA6D0"/>
        </w:rPr>
        <w:t xml:space="preserve">4.  </w:t>
      </w:r>
      <w:r>
        <w:rPr>
          <w:b/>
        </w:rPr>
        <w:t>When you are not sure, ask</w:t>
      </w:r>
      <w:r>
        <w:t xml:space="preserve"> an AI Administrator first. Asking costs a few minutes. A breach of a client's terms can cost the relationship.</w:t>
      </w:r>
    </w:p>
    <w:p>
      <w:pPr>
        <w:pStyle w:val="Heading2"/>
      </w:pPr>
      <w:r>
        <w:t>7. Company information and ownership</w:t>
      </w:r>
    </w:p>
    <w:p>
      <w:r>
        <w:rPr>
          <w:b/>
        </w:rPr>
        <w:t>All [COMPANY] information stays inside [COMPANY] systems:</w:t>
      </w:r>
      <w:r>
        <w:t xml:space="preserve"> [LIST: e.g. your email and file storage], the company [APPROVED AI TOOL] account, and other systems the company has approved. It never goes into a personal or unapproved AI tool.</w:t>
      </w:r>
    </w:p>
    <w:p>
      <w:r>
        <w:rPr>
          <w:b/>
        </w:rPr>
        <w:t>Everything created with company AI tools belongs to [COMPANY].</w:t>
      </w:r>
      <w:r>
        <w:t xml:space="preserve"> Prompts, chats, projects, files and results made in the company account are company property and stay with the company when someone leaves. [ATTORNEY: confirm ownership wording.]</w:t>
      </w:r>
    </w:p>
    <w:p>
      <w:pPr>
        <w:pStyle w:val="Heading2"/>
      </w:pPr>
      <w:r>
        <w:t>8. Using your company AI account</w:t>
      </w:r>
    </w:p>
    <w:p>
      <w:r>
        <w:rPr>
          <w:b/>
        </w:rPr>
        <w:t>Do:</w:t>
      </w:r>
    </w:p>
    <w:p>
      <w:pPr>
        <w:pStyle w:val="ListBullet"/>
      </w:pPr>
      <w:r>
        <w:t>Use only the account assigned to you, signed in with your @[COMPANY DOMAIN] email, with multi-factor authentication turned on.</w:t>
      </w:r>
    </w:p>
    <w:p>
      <w:pPr>
        <w:pStyle w:val="ListBullet"/>
      </w:pPr>
      <w:r>
        <w:t>Keep company work in the company account, in shared company workspaces where it makes sense.</w:t>
      </w:r>
    </w:p>
    <w:p>
      <w:pPr>
        <w:pStyle w:val="ListBullet"/>
      </w:pPr>
      <w:r>
        <w:t>Read and check everything the AI produces before you use it. You are responsible for it.</w:t>
      </w:r>
    </w:p>
    <w:p>
      <w:pPr>
        <w:pStyle w:val="ListBullet"/>
      </w:pPr>
      <w:r>
        <w:t>Have a qualified person check anything involving pricing, quantities, schedules, safety, technical or engineering judgment, or contract and legal language.</w:t>
      </w:r>
    </w:p>
    <w:p>
      <w:pPr>
        <w:pStyle w:val="ListBullet"/>
      </w:pPr>
      <w:r>
        <w:t>Verify facts, figures and sources yourself. AI can sound certain and still be wrong, and it can cite pages that do not say what it claims.</w:t>
      </w:r>
    </w:p>
    <w:p>
      <w:pPr>
        <w:pStyle w:val="ListBullet"/>
      </w:pPr>
      <w:r>
        <w:t>Ask an AI Administrator when you are unsure.</w:t>
      </w:r>
    </w:p>
    <w:p>
      <w:r>
        <w:rPr>
          <w:b/>
        </w:rPr>
        <w:t>Don't:</w:t>
      </w:r>
    </w:p>
    <w:p>
      <w:pPr>
        <w:pStyle w:val="ListBullet"/>
      </w:pPr>
      <w:r>
        <w:t>Share your login or let anyone else use your account.</w:t>
      </w:r>
    </w:p>
    <w:p>
      <w:pPr>
        <w:pStyle w:val="ListBullet"/>
      </w:pPr>
      <w:r>
        <w:t>Use your company account for personal business, side jobs or other employers.</w:t>
      </w:r>
    </w:p>
    <w:p>
      <w:pPr>
        <w:pStyle w:val="ListBullet"/>
      </w:pPr>
      <w:r>
        <w:t>Enter RED information without written approval.</w:t>
      </w:r>
    </w:p>
    <w:p>
      <w:pPr>
        <w:pStyle w:val="ListBullet"/>
      </w:pPr>
      <w:r>
        <w:t>Let AI make safety, legal or engineering decisions. It can help draft; qualified people decide.</w:t>
      </w:r>
    </w:p>
    <w:p>
      <w:pPr>
        <w:pStyle w:val="ListBullet"/>
      </w:pPr>
      <w:r>
        <w:t>Let AI send email, submit forms, make purchases, or sign or accept terms on [COMPANY]'s behalf without approval.</w:t>
      </w:r>
    </w:p>
    <w:p>
      <w:pPr>
        <w:pStyle w:val="ListBullet"/>
      </w:pPr>
      <w:r>
        <w:t>Connect the AI tool to other company systems (email, file storage, accounting or other software) yourself. Connections are set up only by an AI Administrator.</w:t>
      </w:r>
    </w:p>
    <w:p>
      <w:pPr>
        <w:pStyle w:val="ListBullet"/>
      </w:pPr>
      <w:r>
        <w:t>Record or transcribe meetings with AI without approval and without telling everyone in the meeting.</w:t>
      </w:r>
    </w:p>
    <w:p>
      <w:pPr>
        <w:pStyle w:val="ListBullet"/>
      </w:pPr>
      <w:r>
        <w:t>Publish AI-written content (website, social media, proposals, bids) without a person reviewing and approving it.</w:t>
      </w:r>
    </w:p>
    <w:p>
      <w:r>
        <w:rPr>
          <w:b/>
        </w:rPr>
        <w:t>Away from your desk:</w:t>
      </w:r>
      <w:r>
        <w:t xml:space="preserve"> don't photograph documents, screens or work you're doing into AI apps on your phone. If AI could help with something in the field, ask your supervisor or an AI Administrator.</w:t>
      </w:r>
    </w:p>
    <w:p>
      <w:pPr>
        <w:pStyle w:val="Heading2"/>
      </w:pPr>
      <w:r>
        <w:t>9. AI automations, agents and approvals</w:t>
      </w:r>
    </w:p>
    <w:p>
      <w:r>
        <w:t>This section covers automations and AI agents: anything that reads, writes, sends or changes things on [COMPANY]'s behalf without a person doing each step. Only an AI Administrator can set one up or change it.</w:t>
      </w:r>
    </w:p>
    <w:p>
      <w:r>
        <w:rPr>
          <w:b/>
        </w:rPr>
        <w:t>Every automation gets an approval level, based on two questions: how easy is the action to undo, and how much damage could it do if it is wrong?</w:t>
      </w:r>
    </w:p>
    <w:tbl>
      <w:tblPr>
        <w:tblStyle w:val="TableGrid"/>
        <w:tblW w:type="auto" w:w="0"/>
        <w:tblLook w:firstColumn="1" w:firstRow="1" w:lastColumn="0" w:lastRow="0" w:noHBand="0" w:noVBand="1" w:val="04A0"/>
      </w:tblPr>
      <w:tblGrid>
        <w:gridCol w:w="3168"/>
        <w:gridCol w:w="3168"/>
        <w:gridCol w:w="3168"/>
      </w:tblGrid>
      <w:tr>
        <w:tc>
          <w:tcPr>
            <w:tcW w:type="dxa" w:w="3168"/>
            <w:shd w:val="clear" w:color="auto" w:fill="EAF4FB"/>
          </w:tcPr>
          <w:p>
            <w:r>
              <w:rPr>
                <w:b/>
                <w:sz w:val="19"/>
              </w:rPr>
            </w:r>
            <w:r>
              <w:rPr>
                <w:b/>
                <w:sz w:val="19"/>
              </w:rPr>
              <w:t>Level</w:t>
            </w:r>
          </w:p>
        </w:tc>
        <w:tc>
          <w:tcPr>
            <w:tcW w:type="dxa" w:w="3168"/>
            <w:shd w:val="clear" w:color="auto" w:fill="EAF4FB"/>
          </w:tcPr>
          <w:p>
            <w:r>
              <w:rPr>
                <w:b/>
                <w:sz w:val="19"/>
              </w:rPr>
            </w:r>
            <w:r>
              <w:rPr>
                <w:b/>
                <w:sz w:val="19"/>
              </w:rPr>
              <w:t>What the automation does</w:t>
            </w:r>
          </w:p>
        </w:tc>
        <w:tc>
          <w:tcPr>
            <w:tcW w:type="dxa" w:w="3168"/>
            <w:shd w:val="clear" w:color="auto" w:fill="EAF4FB"/>
          </w:tcPr>
          <w:p>
            <w:r>
              <w:rPr>
                <w:b/>
                <w:sz w:val="19"/>
              </w:rPr>
            </w:r>
            <w:r>
              <w:rPr>
                <w:b/>
                <w:sz w:val="19"/>
              </w:rPr>
              <w:t>Rule</w:t>
            </w:r>
          </w:p>
        </w:tc>
      </w:tr>
      <w:tr>
        <w:tc>
          <w:tcPr>
            <w:tcW w:type="dxa" w:w="3168"/>
            <w:shd w:val="clear" w:color="auto" w:fill="E4F4E8"/>
          </w:tcPr>
          <w:p>
            <w:r>
              <w:rPr>
                <w:sz w:val="19"/>
              </w:rPr>
            </w:r>
            <w:r>
              <w:rPr>
                <w:b/>
                <w:sz w:val="19"/>
              </w:rPr>
              <w:t>Runs on its own</w:t>
            </w:r>
          </w:p>
        </w:tc>
        <w:tc>
          <w:tcPr>
            <w:tcW w:type="dxa" w:w="3168"/>
          </w:tcPr>
          <w:p>
            <w:r>
              <w:rPr>
                <w:sz w:val="19"/>
              </w:rPr>
            </w:r>
            <w:r>
              <w:rPr>
                <w:sz w:val="19"/>
              </w:rPr>
              <w:t>Drafts, summaries, internal notes, and writes to internal records that are easy to undo</w:t>
            </w:r>
          </w:p>
        </w:tc>
        <w:tc>
          <w:tcPr>
            <w:tcW w:type="dxa" w:w="3168"/>
          </w:tcPr>
          <w:p>
            <w:r>
              <w:rPr>
                <w:sz w:val="19"/>
              </w:rPr>
            </w:r>
            <w:r>
              <w:rPr>
                <w:sz w:val="19"/>
              </w:rPr>
              <w:t>May run without approval, but every run is logged.</w:t>
            </w:r>
          </w:p>
        </w:tc>
      </w:tr>
      <w:tr>
        <w:tc>
          <w:tcPr>
            <w:tcW w:type="dxa" w:w="3168"/>
            <w:shd w:val="clear" w:color="auto" w:fill="FFF4D1"/>
          </w:tcPr>
          <w:p>
            <w:r>
              <w:rPr>
                <w:sz w:val="19"/>
              </w:rPr>
            </w:r>
            <w:r>
              <w:rPr>
                <w:b/>
                <w:sz w:val="19"/>
              </w:rPr>
              <w:t>Approved until proven</w:t>
            </w:r>
          </w:p>
        </w:tc>
        <w:tc>
          <w:tcPr>
            <w:tcW w:type="dxa" w:w="3168"/>
          </w:tcPr>
          <w:p>
            <w:r>
              <w:rPr>
                <w:sz w:val="19"/>
              </w:rPr>
            </w:r>
            <w:r>
              <w:rPr>
                <w:sz w:val="19"/>
              </w:rPr>
              <w:t>Sends anything outside the company: email, messages, documents, quotes</w:t>
            </w:r>
          </w:p>
        </w:tc>
        <w:tc>
          <w:tcPr>
            <w:tcW w:type="dxa" w:w="3168"/>
          </w:tcPr>
          <w:p>
            <w:r>
              <w:rPr>
                <w:sz w:val="19"/>
              </w:rPr>
            </w:r>
            <w:r>
              <w:rPr>
                <w:sz w:val="19"/>
              </w:rPr>
              <w:t>A person approves each send. An AI Administrator may later move it to spot-checks or limits, in writing, once there is a track record.</w:t>
            </w:r>
          </w:p>
        </w:tc>
      </w:tr>
      <w:tr>
        <w:tc>
          <w:tcPr>
            <w:tcW w:type="dxa" w:w="3168"/>
            <w:shd w:val="clear" w:color="auto" w:fill="FCE3E3"/>
          </w:tcPr>
          <w:p>
            <w:r>
              <w:rPr>
                <w:sz w:val="19"/>
              </w:rPr>
            </w:r>
            <w:r>
              <w:rPr>
                <w:b/>
                <w:sz w:val="19"/>
              </w:rPr>
              <w:t>Always a person</w:t>
            </w:r>
          </w:p>
        </w:tc>
        <w:tc>
          <w:tcPr>
            <w:tcW w:type="dxa" w:w="3168"/>
          </w:tcPr>
          <w:p>
            <w:r>
              <w:rPr>
                <w:sz w:val="19"/>
              </w:rPr>
            </w:r>
            <w:r>
              <w:rPr>
                <w:sz w:val="19"/>
              </w:rPr>
              <w:t>Moves money, changes where money goes, or touches access</w:t>
            </w:r>
          </w:p>
        </w:tc>
        <w:tc>
          <w:tcPr>
            <w:tcW w:type="dxa" w:w="3168"/>
          </w:tcPr>
          <w:p>
            <w:r>
              <w:rPr>
                <w:sz w:val="19"/>
              </w:rPr>
            </w:r>
            <w:r>
              <w:rPr>
                <w:sz w:val="19"/>
              </w:rPr>
              <w:t>A person approves every single time. This level never relaxes.</w:t>
            </w:r>
          </w:p>
        </w:tc>
      </w:tr>
    </w:tbl>
    <w:p/>
    <w:p>
      <w:r>
        <w:rPr>
          <w:b/>
        </w:rPr>
        <w:t>"Always a person" includes, at minimum:</w:t>
      </w:r>
    </w:p>
    <w:p>
      <w:pPr>
        <w:pStyle w:val="ListBullet"/>
      </w:pPr>
      <w:r>
        <w:t>Payments, refunds, credits and payroll changes.</w:t>
      </w:r>
    </w:p>
    <w:p>
      <w:pPr>
        <w:pStyle w:val="ListBullet"/>
      </w:pPr>
      <w:r>
        <w:t>Any new vendor or payee, and any change to a vendor's or payee's bank details, remit-to address or payment instructions.</w:t>
      </w:r>
    </w:p>
    <w:p>
      <w:pPr>
        <w:pStyle w:val="ListBullet"/>
      </w:pPr>
      <w:r>
        <w:t>Passwords, logins, user accounts and permissions.</w:t>
      </w:r>
    </w:p>
    <w:p>
      <w:pPr>
        <w:pStyle w:val="ListBullet"/>
      </w:pPr>
      <w:r>
        <w:t>The first message to any new recipient sent in [COMPANY]'s name.</w:t>
      </w:r>
    </w:p>
    <w:p>
      <w:r>
        <w:rPr>
          <w:b/>
        </w:rPr>
        <w:t>Verify bank-detail changes outside the request.</w:t>
      </w:r>
      <w:r>
        <w:t xml:space="preserve"> A request to change where money is sent is the most common business email fraud there is, and it often arrives looking exactly like a real vendor. Before anyone approves a bank or remit-to change, call the vendor on a phone number already on file, never one from the email or invoice that asked for the change. Never approve a change by replying in the same email thread that asked for it: if that mailbox has been taken over, your reply goes straight to the fraudster.</w:t>
      </w:r>
    </w:p>
    <w:p>
      <w:r>
        <w:rPr>
          <w:b/>
        </w:rPr>
        <w:t>The approval screen must show what is actually happening:</w:t>
      </w:r>
      <w:r>
        <w:t xml:space="preserve"> the exact amount, the recipient, and what changed from before. A bare "Approve?" button is not an approval. If you cannot see what you are approving, do not approve it, and tell an AI Administrator. If nobody answers an approval request, nothing happens: an unanswered approval never counts as a yes.</w:t>
      </w:r>
    </w:p>
    <w:p>
      <w:r>
        <w:rPr>
          <w:b/>
        </w:rPr>
        <w:t>A clean track record does not remove an "Always a person" approval.</w:t>
      </w:r>
      <w:r>
        <w:t xml:space="preserve"> Months of smooth runs prove the normal case works. Approvals exist for the unusual case: a bad or tampered input, a vendor that changes its invoice format, an AI model update. Those are exactly the cases a long quiet stretch never tests. If an automation that was moved to spot-checks sends something wrong, or its AI model, the software it connects to, or the format of what it reads changes, it goes back to a person approving every send until it earns a new track record.</w:t>
      </w:r>
    </w:p>
    <w:p>
      <w:pPr>
        <w:pStyle w:val="Heading2"/>
      </w:pPr>
      <w:r>
        <w:t>10. AI Administrators, accounts and exceptions</w:t>
      </w:r>
    </w:p>
    <w:p>
      <w:r>
        <w:rPr>
          <w:b/>
        </w:rPr>
        <w:t>AI Administrators:</w:t>
      </w:r>
      <w:r>
        <w:t xml:space="preserve"> [NAME, ROLE], [NAME, ROLE]. </w:t>
      </w:r>
      <w:r>
        <w:rPr>
          <w:i/>
        </w:rPr>
        <w:t>(Use at least two people, so approvals and incident reports never wait on one person.)</w:t>
      </w:r>
    </w:p>
    <w:p>
      <w:pPr>
        <w:pStyle w:val="ListBullet"/>
      </w:pPr>
      <w:r>
        <w:rPr>
          <w:b/>
        </w:rPr>
        <w:t>Accounts</w:t>
      </w:r>
      <w:r>
        <w:t xml:space="preserve"> are assigned by role. To request one, ask an AI Administrator. Everyone completes [REQUIRED TRAINING] before getting access.</w:t>
      </w:r>
    </w:p>
    <w:p>
      <w:pPr>
        <w:pStyle w:val="ListBullet"/>
      </w:pPr>
      <w:r>
        <w:rPr>
          <w:b/>
        </w:rPr>
        <w:t>Exceptions:</w:t>
      </w:r>
      <w:r>
        <w:t xml:space="preserve"> if you need a different AI tool or feature, or need to use RED information, send a written request (email is fine) to an AI Administrator saying what the tool is, what you would use it for, and what information would be involved. Do not use it until you have written approval.</w:t>
      </w:r>
    </w:p>
    <w:p>
      <w:pPr>
        <w:pStyle w:val="ListBullet"/>
      </w:pPr>
      <w:r>
        <w:rPr>
          <w:b/>
        </w:rPr>
        <w:t>Approved list:</w:t>
      </w:r>
      <w:r>
        <w:t xml:space="preserve"> approved tools and exceptions are kept on the company's approved AI list, maintained by [NAME, ROLE].</w:t>
      </w:r>
    </w:p>
    <w:p>
      <w:pPr>
        <w:pStyle w:val="Heading2"/>
      </w:pPr>
      <w:r>
        <w:t>11. Moving off personal AI accounts</w:t>
      </w:r>
    </w:p>
    <w:p>
      <w:r>
        <w:t>Anyone who has used a personal or unapproved AI account for [COMPANY] work must, by [DATE]:</w:t>
      </w:r>
    </w:p>
    <w:p>
      <w:pPr>
        <w:ind w:left="504" w:hanging="360"/>
      </w:pPr>
      <w:r>
        <w:rPr>
          <w:b/>
          <w:color w:val="5FA6D0"/>
        </w:rPr>
        <w:t xml:space="preserve">1.  </w:t>
      </w:r>
      <w:r>
        <w:t>Stop using it for [COMPANY] work immediately.</w:t>
      </w:r>
    </w:p>
    <w:p>
      <w:pPr>
        <w:ind w:left="504" w:hanging="360"/>
      </w:pPr>
      <w:r>
        <w:rPr>
          <w:b/>
          <w:color w:val="5FA6D0"/>
        </w:rPr>
        <w:t xml:space="preserve">2.  </w:t>
      </w:r>
      <w:r>
        <w:t>Tell an AI Administrator which accounts were used.</w:t>
      </w:r>
    </w:p>
    <w:p>
      <w:pPr>
        <w:ind w:left="504" w:hanging="360"/>
      </w:pPr>
      <w:r>
        <w:rPr>
          <w:b/>
          <w:color w:val="5FA6D0"/>
        </w:rPr>
        <w:t xml:space="preserve">3.  </w:t>
      </w:r>
      <w:r>
        <w:t>Work with an AI Administrator to export anything useful and bring it into the company account.</w:t>
      </w:r>
    </w:p>
    <w:p>
      <w:pPr>
        <w:ind w:left="504" w:hanging="360"/>
      </w:pPr>
      <w:r>
        <w:rPr>
          <w:b/>
          <w:color w:val="5FA6D0"/>
        </w:rPr>
        <w:t xml:space="preserve">4.  </w:t>
      </w:r>
      <w:r>
        <w:t>Delete all [COMPANY] information from the personal account (chats, files, projects, custom assistants, saved memories and shared links), and confirm in writing that it is done.</w:t>
      </w:r>
    </w:p>
    <w:p>
      <w:r>
        <w:rPr>
          <w:b/>
        </w:rPr>
        <w:t>Nobody is in trouble for past use that they disclose and clean up through this process.</w:t>
      </w:r>
    </w:p>
    <w:p>
      <w:r>
        <w:t>Personal use of your own AI account for non-company matters is your business. Keep it fully separate from company work.</w:t>
      </w:r>
    </w:p>
    <w:p>
      <w:pPr>
        <w:pStyle w:val="Heading2"/>
      </w:pPr>
      <w:r>
        <w:t>12. Company accounts are not private</w:t>
      </w:r>
    </w:p>
    <w:p>
      <w:r>
        <w:t>Company AI accounts are company property. [COMPANY] may review activity and content in company AI accounts, to the extent the account plan allows, and may remove access at any time. Do not put personal matters in your company account.</w:t>
      </w:r>
    </w:p>
    <w:p>
      <w:pPr>
        <w:pStyle w:val="Heading2"/>
      </w:pPr>
      <w:r>
        <w:t>13. Reporting mistakes</w:t>
      </w:r>
    </w:p>
    <w:p>
      <w:r>
        <w:t xml:space="preserve">If you put [COMPANY] information into the wrong tool, or you're not sure whether you did, </w:t>
      </w:r>
      <w:r>
        <w:rPr>
          <w:b/>
        </w:rPr>
        <w:t>tell an AI Administrator right away:</w:t>
      </w:r>
      <w:r>
        <w:t xml:space="preserve"> what it was, which tool, and roughly when. Don't try to fix it quietly first. Fast reporting lets us limit the damage. An honest mistake reported promptly is treated very differently from one that is hidden.</w:t>
      </w:r>
    </w:p>
    <w:p>
      <w:pPr>
        <w:pStyle w:val="Heading2"/>
      </w:pPr>
      <w:r>
        <w:t>14. Violations</w:t>
      </w:r>
    </w:p>
    <w:p>
      <w:r>
        <w:t>Following this policy is a condition of using [COMPANY] information and systems. The following are serious violations:</w:t>
      </w:r>
    </w:p>
    <w:p>
      <w:pPr>
        <w:pStyle w:val="ListBullet"/>
      </w:pPr>
      <w:r>
        <w:t>Using a personal or unapproved AI tool or account for [COMPANY] work.</w:t>
      </w:r>
    </w:p>
    <w:p>
      <w:pPr>
        <w:pStyle w:val="ListBullet"/>
      </w:pPr>
      <w:r>
        <w:t>Putting [COMPANY] information into any AI tool outside the company account.</w:t>
      </w:r>
    </w:p>
    <w:p>
      <w:pPr>
        <w:pStyle w:val="ListBullet"/>
      </w:pPr>
      <w:r>
        <w:t>Going around the approval process, or using a tool before written approval.</w:t>
      </w:r>
    </w:p>
    <w:p>
      <w:pPr>
        <w:pStyle w:val="ListBullet"/>
      </w:pPr>
      <w:r>
        <w:t>Turning off, skipping or working around an automation's approval step.</w:t>
      </w:r>
    </w:p>
    <w:p>
      <w:pPr>
        <w:pStyle w:val="ListBullet"/>
      </w:pPr>
      <w:r>
        <w:t>Sharing company AI logins, or using a company account for non-[COMPANY] work.</w:t>
      </w:r>
    </w:p>
    <w:p>
      <w:pPr>
        <w:pStyle w:val="ListBullet"/>
      </w:pPr>
      <w:r>
        <w:t>Hiding or failing to report a known misuse.</w:t>
      </w:r>
    </w:p>
    <w:p>
      <w:r>
        <w:t>Violations may result in disciplinary action, up to and including termination of employment. [COMPANY] may also take other steps to protect its information, including legal action where appropriate. [ATTORNEY: confirm wording for your state and handbook.]</w:t>
      </w:r>
    </w:p>
    <w:p>
      <w:pPr>
        <w:pStyle w:val="Heading2"/>
      </w:pPr>
      <w:r>
        <w:t>15. Questions and review</w:t>
      </w:r>
    </w:p>
    <w:p>
      <w:pPr>
        <w:pStyle w:val="ListBullet"/>
      </w:pPr>
      <w:r>
        <w:t>Questions go to any AI Administrator.</w:t>
      </w:r>
    </w:p>
    <w:p>
      <w:pPr>
        <w:pStyle w:val="ListBullet"/>
      </w:pPr>
      <w:r>
        <w:rPr>
          <w:b/>
        </w:rPr>
        <w:t>Policy owner:</w:t>
      </w:r>
      <w:r>
        <w:t xml:space="preserve"> [NAME, ROLE]. This policy is reviewed at least every six months, and whenever the company's AI tools change.</w:t>
      </w:r>
    </w:p>
    <w:p>
      <w:pPr>
        <w:pStyle w:val="ListBullet"/>
      </w:pPr>
      <w:r>
        <w:rPr>
          <w:b/>
        </w:rPr>
        <w:t>Effective date:</w:t>
      </w:r>
      <w:r>
        <w:t xml:space="preserve"> [DATE]. It becomes part of the employee handbook once adopted.</w:t>
      </w:r>
    </w:p>
    <w:p>
      <w:pPr>
        <w:pStyle w:val="Heading2"/>
      </w:pPr>
      <w:r>
        <w:t>Acknowledgement</w:t>
      </w:r>
    </w:p>
    <w:p>
      <w:r>
        <w:t>I have read and understand the [COMPANY NAME] AI Use Policy. I agree to follow it. I understand that violations may result in disciplinary action, up to and including termination.</w:t>
      </w:r>
    </w:p>
    <w:tbl>
      <w:tblPr>
        <w:tblStyle w:val="TableGrid"/>
        <w:tblW w:type="auto" w:w="0"/>
        <w:tblLook w:firstColumn="1" w:firstRow="1" w:lastColumn="0" w:lastRow="0" w:noHBand="0" w:noVBand="1" w:val="04A0"/>
      </w:tblPr>
      <w:tblGrid>
        <w:gridCol w:w="3168"/>
        <w:gridCol w:w="3168"/>
        <w:gridCol w:w="3168"/>
      </w:tblGrid>
      <w:tr>
        <w:tc>
          <w:tcPr>
            <w:tcW w:type="dxa" w:w="3168"/>
            <w:shd w:val="clear" w:color="auto" w:fill="EAF4FB"/>
          </w:tcPr>
          <w:p>
            <w:r>
              <w:rPr>
                <w:b/>
                <w:sz w:val="19"/>
              </w:rPr>
            </w:r>
            <w:r>
              <w:rPr>
                <w:b/>
                <w:sz w:val="19"/>
              </w:rPr>
              <w:t>Name (print)</w:t>
            </w:r>
          </w:p>
        </w:tc>
        <w:tc>
          <w:tcPr>
            <w:tcW w:type="dxa" w:w="3168"/>
            <w:shd w:val="clear" w:color="auto" w:fill="EAF4FB"/>
          </w:tcPr>
          <w:p>
            <w:r>
              <w:rPr>
                <w:b/>
                <w:sz w:val="19"/>
              </w:rPr>
            </w:r>
            <w:r>
              <w:rPr>
                <w:b/>
                <w:sz w:val="19"/>
              </w:rPr>
              <w:t>Signature</w:t>
            </w:r>
          </w:p>
        </w:tc>
        <w:tc>
          <w:tcPr>
            <w:tcW w:type="dxa" w:w="3168"/>
            <w:shd w:val="clear" w:color="auto" w:fill="EAF4FB"/>
          </w:tcPr>
          <w:p>
            <w:r>
              <w:rPr>
                <w:b/>
                <w:sz w:val="19"/>
              </w:rPr>
            </w:r>
            <w:r>
              <w:rPr>
                <w:b/>
                <w:sz w:val="19"/>
              </w:rPr>
              <w:t>Date</w:t>
            </w:r>
          </w:p>
        </w:tc>
      </w:tr>
    </w:tbl>
    <w:p/>
    <w:p>
      <w:r>
        <w:rPr>
          <w:i/>
        </w:rPr>
        <w:t>Template by WorkflowLoom (workflowloom.com), Bartlesville, Oklahoma. Free to use and adapt for your own company. A policy is step one. Rolling it out (choosing the tool, setting up accounts, training each role, and checking adoption at 30, 60 and 90 days) is where most companies need help.</w:t>
      </w:r>
      <w:r>
        <w:rPr>
          <w:i/>
          <w:color w:val="5FA6D0"/>
        </w:rPr>
        <w:t xml:space="preserve">  (Optional note from WorkflowLoom. Delete this paragraph if you prefer.)</w:t>
      </w:r>
    </w:p>
    <w:sectPr w:rsidR="00FC693F" w:rsidRPr="0006063C" w:rsidSect="00034616">
      <w:headerReference w:type="default" r:id="rId9"/>
      <w:footerReference w:type="default" r:id="rId10"/>
      <w:pgSz w:w="12240" w:h="15840"/>
      <w:pgMar w:top="1368" w:right="1368" w:bottom="1152"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475"/>
        <w:sz w:val="16"/>
      </w:rPr>
      <w:t>AI Use Policy  ·  Template: workflowloom.com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152144" cy="384048"/>
          <wp:docPr id="1" name="Picture 1"/>
          <wp:cNvGraphicFramePr>
            <a:graphicFrameLocks noChangeAspect="1"/>
          </wp:cNvGraphicFramePr>
          <a:graphic>
            <a:graphicData uri="http://schemas.openxmlformats.org/drawingml/2006/picture">
              <pic:pic>
                <pic:nvPicPr>
                  <pic:cNvPr id="0" name="your-logo-placeholder.png"/>
                  <pic:cNvPicPr/>
                </pic:nvPicPr>
                <pic:blipFill>
                  <a:blip r:embed="rId1"/>
                  <a:stretch>
                    <a:fillRect/>
                  </a:stretch>
                </pic:blipFill>
                <pic:spPr>
                  <a:xfrm>
                    <a:off x="0" y="0"/>
                    <a:ext cx="1152144" cy="38404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6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eastAsiaTheme="majorEastAsia" w:cstheme="majorBidi" w:ascii="Calibri" w:hAnsi="Calibri" w:cs="Calibri"/>
      <w:b/>
      <w:bCs/>
      <w:color w:val="1A2030"/>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eastAsiaTheme="majorEastAsia" w:cstheme="majorBidi" w:ascii="Calibri" w:hAnsi="Calibri" w:cs="Calibri"/>
      <w:b/>
      <w:bCs/>
      <w:color w:val="1A203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eastAsiaTheme="majorEastAsia" w:cstheme="majorBidi" w:ascii="Calibri" w:hAnsi="Calibri" w:cs="Calibri"/>
      <w:b/>
      <w:bCs/>
      <w:color w:val="5FA6D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 for Small Businesses</dc:title>
  <dc:subject>A starting point for a company AI use policy</dc:subject>
  <dc:creator>WorkflowLoom</dc:creator>
  <cp:keywords/>
  <dc:description/>
  <cp:lastModifiedBy>WorkflowLoom</cp:lastModifiedBy>
  <cp:revision>1</cp:revision>
  <dcterms:created xsi:type="dcterms:W3CDTF">2026-10-01T12:00:00Z</dcterms:created>
  <dcterms:modified xsi:type="dcterms:W3CDTF">2026-10-01T12:00:00Z</dcterms:modified>
  <cp:category/>
</cp:coreProperties>
</file>